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lang w:val="en-US" w:eastAsia="zh-CN"/>
        </w:rPr>
        <w:t>附件：</w:t>
      </w:r>
    </w:p>
    <w:p>
      <w:pPr>
        <w:spacing w:line="520" w:lineRule="exact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第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届中德机电一体化职业教育国际论坛暨第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届全国机电一体化专业教学经验交流会</w:t>
      </w:r>
      <w:r>
        <w:rPr>
          <w:rFonts w:hint="eastAsia" w:ascii="黑体" w:hAnsi="黑体" w:eastAsia="黑体" w:cs="黑体"/>
          <w:sz w:val="36"/>
          <w:szCs w:val="36"/>
        </w:rPr>
        <w:t>”承办单位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申请表</w:t>
      </w:r>
    </w:p>
    <w:tbl>
      <w:tblPr>
        <w:tblStyle w:val="2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433"/>
        <w:gridCol w:w="939"/>
        <w:gridCol w:w="1068"/>
        <w:gridCol w:w="1098"/>
        <w:gridCol w:w="619"/>
        <w:gridCol w:w="1330"/>
        <w:gridCol w:w="217"/>
        <w:gridCol w:w="21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1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申请单位基本情况</w:t>
            </w:r>
          </w:p>
        </w:tc>
        <w:tc>
          <w:tcPr>
            <w:tcW w:w="2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5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2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注册资金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23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23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单位网址</w:t>
            </w:r>
          </w:p>
        </w:tc>
        <w:tc>
          <w:tcPr>
            <w:tcW w:w="1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3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单位性质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64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□院校  □企业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64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会议承办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经验介绍</w:t>
            </w:r>
          </w:p>
        </w:tc>
        <w:tc>
          <w:tcPr>
            <w:tcW w:w="64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046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申请单位负责人信息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04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手机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04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传真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04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4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5520" w:firstLineChars="2300"/>
              <w:jc w:val="both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单位盖章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 xml:space="preserve">                                        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 xml:space="preserve">                                        年 月 日</w:t>
            </w:r>
            <w:bookmarkStart w:id="0" w:name="_GoBack"/>
            <w:bookmarkEnd w:id="0"/>
          </w:p>
        </w:tc>
      </w:tr>
    </w:tbl>
    <w:p>
      <w:pPr>
        <w:spacing w:line="520" w:lineRule="exact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6552A"/>
    <w:rsid w:val="1E651487"/>
    <w:rsid w:val="28CB0C7E"/>
    <w:rsid w:val="5556552A"/>
    <w:rsid w:val="583D00BD"/>
    <w:rsid w:val="5C662D94"/>
    <w:rsid w:val="7257022B"/>
    <w:rsid w:val="777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2021-01-26T08:06:00Z</dcterms:created>
  <dc:creator>一兮</dc:creator>
  <cp:lastModifiedBy>一兮</cp:lastModifiedBy>
  <dcterms:modified xsi:type="dcterms:W3CDTF">2021-02-01T03:11:54Z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